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751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(ХМАО-Югра,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Шарги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5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3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0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Ахмедова Ш.Р. 27.12.2023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осуществляющая свою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по адресу: г. Нефтеюганск,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Магистральная, д. 1, магазин «</w:t>
      </w:r>
      <w:r>
        <w:rPr>
          <w:rFonts w:ascii="Times New Roman" w:eastAsia="Times New Roman" w:hAnsi="Times New Roman" w:cs="Times New Roman"/>
          <w:sz w:val="28"/>
          <w:szCs w:val="28"/>
        </w:rPr>
        <w:t>Мурад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– до 13.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не выполнила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Межрайонной ИФНС России №7 по ХМАО - Югре от </w:t>
      </w:r>
      <w:r>
        <w:rPr>
          <w:rFonts w:ascii="Times New Roman" w:eastAsia="Times New Roman" w:hAnsi="Times New Roman" w:cs="Times New Roman"/>
          <w:sz w:val="28"/>
          <w:szCs w:val="28"/>
        </w:rPr>
        <w:t>22.01.2024 об устранении выявленных нарушений требований законодательства Российской Федерации о применении контрольно-кассовой 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устранив нарушения,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выявленные нарушения законодательства о применении контрольно-кассов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техники, а именно: зарегистрировать контрольно-кассовую технику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4.2. Федерального закона от 22.05.2003 № 54-ФЗ «О применении контрольно-кассово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техники при осуществлении расчетов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 кассовые чеки коррекции на все суммы расчета без применени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контрольно-кассовой техники</w:t>
      </w:r>
      <w:r>
        <w:rPr>
          <w:rFonts w:ascii="Times New Roman" w:eastAsia="Times New Roman" w:hAnsi="Times New Roman" w:cs="Times New Roman"/>
          <w:sz w:val="28"/>
          <w:szCs w:val="28"/>
        </w:rPr>
        <w:t>, и не предоставила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 в Межрайонную ИФНС России №7 по ХМАО-Югре, чем нарушила п.1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1.2, п.2 ст.5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22.05.2003 N 54-ФЗ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 контрольно-кассовой техники при осуществлении расчетов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Ш.Р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надлежащим образом о времени и месте рассмотрения дела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 «О сроках рассмотрения судами уголовных, гражданских 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правонарушениях», мировой судья считает возможным рассмотреть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Ш.Р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Ш.Р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№ </w:t>
      </w:r>
      <w:r>
        <w:rPr>
          <w:rStyle w:val="cat-UserDefinedgrp-5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Ш.Р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13.02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Межрайонной ИФНС России №7 по ХМАО - Югре от 22.01.2024 об устранении выявленных нарушений требований законодательства Российской Федерации о применении контрольно-кассовой 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составлен в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внутренних почтовых отправлений;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об административном правонарушении от 22.01.2024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Ахмедовой Ш.Р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ч. 2 ст. 14.5 КоАП РФ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предписанием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Межрайонной ИФНС России №7 по ХМАО - Югре от 22.01.2024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 Ахмедова Ш.Р.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предписано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13.02.2024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выявленные факты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 Российской Федерации о применении контрольно-кассовой техники магазин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Мурад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Нефтеюганск, 11 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Магистральная, д. 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внутренних почтовых отправлений; 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осмотра от 27.12.2023;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заданием на проведение выездного обследования при осуществлении федерального государственного контроля (надзора) от 27.12.2023;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мотивированным представлением № 7 от 27.12.2023;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внутренних почтовых отправлений;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2 ст.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22.05.2003 N 54-ФЗ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применении контрольно-кассовой техники при осуществлении расчетов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 (клиенту) в электронной фо</w:t>
      </w:r>
      <w:r>
        <w:rPr>
          <w:rFonts w:ascii="Times New Roman" w:eastAsia="Times New Roman" w:hAnsi="Times New Roman" w:cs="Times New Roman"/>
          <w:sz w:val="28"/>
          <w:szCs w:val="28"/>
        </w:rPr>
        <w:t>рме на адрес электронной почты) (п.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22.05.2003 N 54-ФЗ «О применении контрольно-кассовой техники при осуществлении расчетов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ользователи обязаны: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перерегистрацию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контрольно-кассовой техники;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о применении контрольно-кассовой техники;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выдавать (направлять)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предусмотренных настоящим Федеральным законом;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расчетов с использованием электронных средств платежа обеспечивать ввод идентичной информации о сумме расчета в контрольно-кассовую технику и в устройства, указанные в абзаце втором пункта 1 статьи 2 настоящего Федерального закона;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обеспечивать сохранность фискальных накопителей в течение пяти лет с даты окончания их использования в составе контрольно-кассовой техники;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исключать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техники и ее фискальному накопителю;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предоставлять в налоговые органы по их запросам информацию и (или) документы, связанные с применением контрольно-кассовой техники, при осуществлении ими контроля и надзора за применением контрольно-кассовой техники;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обеспечивать должностным лицам налоговых органов при осуществлении ими контроля и надзора за применением контрольно-кассовой техники беспрепятственный доступ к контрольно-кассовой технике и фискальному накопителю, в том числе с использованием технических средств, и предоставлять указанным должностным лицам документацию на них;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замену фискального накопителя и материалов, требующих регулярной замены (расходных материалов);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передавать в случае аннулирования разрешения на обработку фискальных данных у оператора фискальных данных, с которым у пользователя был заключен договор, в срок не более чем 20 календарных дней со дня прекращения действия разрешения на обработку фискальных данных все фискальные документы, которые не были переданы в налоговые органы через оператора фискальных данных в электронной форме;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обеспечивать соответствие информации о сумме расчета в контрольно-кассовой технике информации о сумме расчета, полученной от устройства, указанного в абзаце втором пункта 1 статьи 2 настоящего Федерального закона;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 Российской Федерации о применении контрольно-кассовой техники.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РФ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ст. 1.5 КоАП РФ, лицо подлежит административной ответственности только за те административные правонарушения, в отношении которых установлена вина. Неустранимые сомнения в виновности лица, привлекаемого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толкуются в пользу этого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привлекаемого к административной ответственности лица, 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иными протоколами,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которого ведется производство по делу,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19.5 ч.1 КоАП РФ, состоит в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представленных документов в качестве доказательств, материалы дела не содержат.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квалифицирует 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Ш.Р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19.5 Кодекса об административных правонарушениях Российской Федерации, как невыполнение в установленный срок законного предписания органа (должностного лица), осуществляющего государственный надзор,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обстоятельства дела, характер данного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Ш.Р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усматривает. </w:t>
      </w:r>
    </w:p>
    <w:p>
      <w:pPr>
        <w:spacing w:before="0" w:after="0"/>
        <w:ind w:left="2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Шарги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19.5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72011601193010005140, УИН 0412365400395007512419173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 - 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tabs>
          <w:tab w:val="left" w:pos="666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widowControl w:val="0"/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9rplc-7">
    <w:name w:val="cat-ExternalSystemDefined grp-49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UserDefinedgrp-52rplc-9">
    <w:name w:val="cat-UserDefined grp-52 rplc-9"/>
    <w:basedOn w:val="DefaultParagraphFont"/>
  </w:style>
  <w:style w:type="character" w:customStyle="1" w:styleId="cat-UserDefinedgrp-51rplc-10">
    <w:name w:val="cat-UserDefined grp-51 rplc-10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ExternalSystemDefinedgrp-50rplc-14">
    <w:name w:val="cat-ExternalSystemDefined grp-50 rplc-14"/>
    <w:basedOn w:val="DefaultParagraphFont"/>
  </w:style>
  <w:style w:type="character" w:customStyle="1" w:styleId="cat-UserDefinedgrp-53rplc-29">
    <w:name w:val="cat-UserDefined grp-53 rplc-29"/>
    <w:basedOn w:val="DefaultParagraphFont"/>
  </w:style>
  <w:style w:type="character" w:customStyle="1" w:styleId="cat-UserDefinedgrp-54rplc-63">
    <w:name w:val="cat-UserDefined grp-54 rplc-63"/>
    <w:basedOn w:val="DefaultParagraphFont"/>
  </w:style>
  <w:style w:type="character" w:customStyle="1" w:styleId="cat-UserDefinedgrp-55rplc-66">
    <w:name w:val="cat-UserDefined grp-55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